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7B13" w14:textId="77777777" w:rsidR="001B5528" w:rsidRPr="00046649" w:rsidRDefault="00DD6C78" w:rsidP="001E1534">
      <w:pPr>
        <w:jc w:val="center"/>
        <w:rPr>
          <w:rFonts w:ascii="Arial" w:hAnsi="Arial" w:cs="Arial"/>
          <w:b/>
          <w:sz w:val="22"/>
        </w:rPr>
      </w:pPr>
      <w:r w:rsidRPr="00046649">
        <w:rPr>
          <w:rFonts w:ascii="Arial" w:hAnsi="Arial" w:cs="Arial"/>
          <w:b/>
          <w:sz w:val="22"/>
          <w:u w:val="single"/>
        </w:rPr>
        <w:t>Job Share Agreement Template</w:t>
      </w:r>
      <w:r w:rsidR="001E1534" w:rsidRPr="00046649">
        <w:rPr>
          <w:rFonts w:ascii="Arial" w:hAnsi="Arial" w:cs="Arial"/>
          <w:b/>
          <w:sz w:val="22"/>
          <w:u w:val="single"/>
        </w:rPr>
        <w:t xml:space="preserve"> </w:t>
      </w:r>
    </w:p>
    <w:p w14:paraId="301E3E27" w14:textId="77777777" w:rsidR="00DD6C78" w:rsidRPr="00046649" w:rsidRDefault="00DD6C78">
      <w:pPr>
        <w:rPr>
          <w:rFonts w:ascii="Arial" w:hAnsi="Arial" w:cs="Arial"/>
          <w:sz w:val="22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2978"/>
        <w:gridCol w:w="3584"/>
        <w:gridCol w:w="9457"/>
      </w:tblGrid>
      <w:tr w:rsidR="001C6AE3" w:rsidRPr="00046649" w14:paraId="3CC5F08B" w14:textId="77777777">
        <w:tc>
          <w:tcPr>
            <w:tcW w:w="2978" w:type="dxa"/>
          </w:tcPr>
          <w:p w14:paraId="13432521" w14:textId="77777777" w:rsidR="00DD6C78" w:rsidRPr="00046649" w:rsidRDefault="007F7841">
            <w:pPr>
              <w:rPr>
                <w:rFonts w:ascii="Arial" w:hAnsi="Arial" w:cs="Arial"/>
                <w:b/>
                <w:sz w:val="22"/>
              </w:rPr>
            </w:pPr>
            <w:r w:rsidRPr="00046649">
              <w:rPr>
                <w:rFonts w:ascii="Arial" w:hAnsi="Arial" w:cs="Arial"/>
                <w:b/>
                <w:sz w:val="22"/>
              </w:rPr>
              <w:t>Agreement S</w:t>
            </w:r>
            <w:r w:rsidR="00DD6C78" w:rsidRPr="00046649">
              <w:rPr>
                <w:rFonts w:ascii="Arial" w:hAnsi="Arial" w:cs="Arial"/>
                <w:b/>
                <w:sz w:val="22"/>
              </w:rPr>
              <w:t xml:space="preserve">ubject </w:t>
            </w:r>
          </w:p>
        </w:tc>
        <w:tc>
          <w:tcPr>
            <w:tcW w:w="3584" w:type="dxa"/>
          </w:tcPr>
          <w:p w14:paraId="11F416FE" w14:textId="77777777" w:rsidR="00DD6C78" w:rsidRPr="00046649" w:rsidRDefault="00DD6C78">
            <w:pPr>
              <w:rPr>
                <w:rFonts w:ascii="Arial" w:hAnsi="Arial" w:cs="Arial"/>
                <w:b/>
                <w:sz w:val="22"/>
              </w:rPr>
            </w:pPr>
            <w:r w:rsidRPr="00046649">
              <w:rPr>
                <w:rFonts w:ascii="Arial" w:hAnsi="Arial" w:cs="Arial"/>
                <w:b/>
                <w:sz w:val="22"/>
              </w:rPr>
              <w:t xml:space="preserve">Details </w:t>
            </w:r>
          </w:p>
        </w:tc>
        <w:tc>
          <w:tcPr>
            <w:tcW w:w="9457" w:type="dxa"/>
          </w:tcPr>
          <w:p w14:paraId="5C22C3FF" w14:textId="77777777" w:rsidR="00DD6C78" w:rsidRPr="00046649" w:rsidRDefault="00DD6C78">
            <w:pPr>
              <w:rPr>
                <w:rFonts w:ascii="Arial" w:hAnsi="Arial" w:cs="Arial"/>
                <w:b/>
                <w:sz w:val="22"/>
              </w:rPr>
            </w:pPr>
            <w:r w:rsidRPr="00046649">
              <w:rPr>
                <w:rFonts w:ascii="Arial" w:hAnsi="Arial" w:cs="Arial"/>
                <w:b/>
                <w:sz w:val="22"/>
              </w:rPr>
              <w:t xml:space="preserve">Job Sharers Input </w:t>
            </w:r>
          </w:p>
        </w:tc>
      </w:tr>
      <w:tr w:rsidR="001C6AE3" w:rsidRPr="00046649" w14:paraId="0E6A95DA" w14:textId="77777777">
        <w:tc>
          <w:tcPr>
            <w:tcW w:w="2978" w:type="dxa"/>
          </w:tcPr>
          <w:p w14:paraId="10A9D559" w14:textId="77777777" w:rsidR="00DD6C78" w:rsidRPr="00046649" w:rsidRDefault="00DD6C78" w:rsidP="00DD6C7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Working arrangement</w:t>
            </w:r>
          </w:p>
          <w:p w14:paraId="5E6A6A6E" w14:textId="77777777" w:rsidR="00DD6C78" w:rsidRPr="00046649" w:rsidRDefault="00DD6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4" w:type="dxa"/>
          </w:tcPr>
          <w:p w14:paraId="3381F985" w14:textId="77777777" w:rsidR="00DD6C78" w:rsidRPr="00046649" w:rsidRDefault="00DD6C78" w:rsidP="00DD6C7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A focus here on who will be expected to work which days</w:t>
            </w:r>
          </w:p>
          <w:p w14:paraId="1C4E2AF3" w14:textId="77777777" w:rsidR="00DD6C78" w:rsidRPr="00046649" w:rsidRDefault="00DD6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7" w:type="dxa"/>
          </w:tcPr>
          <w:p w14:paraId="7DD278A0" w14:textId="77777777" w:rsidR="00DD6C78" w:rsidRPr="00046649" w:rsidRDefault="00046649" w:rsidP="00046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530C69" w:rsidRPr="00046649">
              <w:rPr>
                <w:rFonts w:ascii="Arial" w:hAnsi="Arial" w:cs="Arial"/>
                <w:sz w:val="22"/>
                <w:szCs w:val="22"/>
              </w:rPr>
              <w:t>O</w:t>
            </w:r>
            <w:r w:rsidR="001E1534" w:rsidRPr="00046649">
              <w:rPr>
                <w:rFonts w:ascii="Arial" w:hAnsi="Arial" w:cs="Arial"/>
                <w:sz w:val="22"/>
                <w:szCs w:val="22"/>
              </w:rPr>
              <w:t>ne partner working Monday to</w:t>
            </w:r>
            <w:r w:rsidR="007F7841" w:rsidRPr="00046649">
              <w:rPr>
                <w:rFonts w:ascii="Arial" w:hAnsi="Arial" w:cs="Arial"/>
                <w:sz w:val="22"/>
                <w:szCs w:val="22"/>
              </w:rPr>
              <w:t xml:space="preserve"> Wednesday and </w:t>
            </w:r>
            <w:r w:rsidR="001E1534" w:rsidRPr="00046649">
              <w:rPr>
                <w:rFonts w:ascii="Arial" w:hAnsi="Arial" w:cs="Arial"/>
                <w:sz w:val="22"/>
                <w:szCs w:val="22"/>
              </w:rPr>
              <w:t>other partner working Thurs</w:t>
            </w:r>
            <w:r w:rsidR="007F7841" w:rsidRPr="00046649">
              <w:rPr>
                <w:rFonts w:ascii="Arial" w:hAnsi="Arial" w:cs="Arial"/>
                <w:sz w:val="22"/>
                <w:szCs w:val="22"/>
              </w:rPr>
              <w:t>day t</w:t>
            </w:r>
            <w:r w:rsidR="00562D0C" w:rsidRPr="00046649">
              <w:rPr>
                <w:rFonts w:ascii="Arial" w:hAnsi="Arial" w:cs="Arial"/>
                <w:sz w:val="22"/>
                <w:szCs w:val="22"/>
              </w:rPr>
              <w:t xml:space="preserve">o </w:t>
            </w:r>
            <w:proofErr w:type="gramStart"/>
            <w:r w:rsidR="00562D0C" w:rsidRPr="00046649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W</w:t>
            </w:r>
            <w:r w:rsidR="001E1534" w:rsidRPr="00046649">
              <w:rPr>
                <w:rFonts w:ascii="Arial" w:hAnsi="Arial" w:cs="Arial"/>
                <w:sz w:val="22"/>
                <w:szCs w:val="22"/>
              </w:rPr>
              <w:t>ednesday</w:t>
            </w:r>
            <w:r>
              <w:rPr>
                <w:rFonts w:ascii="Arial" w:hAnsi="Arial" w:cs="Arial"/>
                <w:sz w:val="22"/>
                <w:szCs w:val="22"/>
              </w:rPr>
              <w:t xml:space="preserve"> to be swapped every week.  Or both partners working the Wednesday as a handover day.</w:t>
            </w:r>
          </w:p>
        </w:tc>
      </w:tr>
      <w:tr w:rsidR="001C6AE3" w:rsidRPr="00046649" w14:paraId="0D596560" w14:textId="77777777">
        <w:tc>
          <w:tcPr>
            <w:tcW w:w="2978" w:type="dxa"/>
          </w:tcPr>
          <w:p w14:paraId="2A038C1C" w14:textId="77777777" w:rsidR="00DD6C78" w:rsidRPr="00046649" w:rsidRDefault="00530C69">
            <w:pPr>
              <w:rPr>
                <w:rFonts w:ascii="Arial" w:hAnsi="Arial" w:cs="Arial"/>
                <w:sz w:val="22"/>
                <w:szCs w:val="22"/>
              </w:rPr>
            </w:pPr>
            <w:r w:rsidRPr="00046649">
              <w:rPr>
                <w:rFonts w:ascii="Arial" w:hAnsi="Arial" w:cs="Arial"/>
                <w:sz w:val="22"/>
                <w:szCs w:val="22"/>
              </w:rPr>
              <w:t xml:space="preserve">Communication </w:t>
            </w:r>
          </w:p>
        </w:tc>
        <w:tc>
          <w:tcPr>
            <w:tcW w:w="3584" w:type="dxa"/>
          </w:tcPr>
          <w:p w14:paraId="6522E5B0" w14:textId="77777777" w:rsidR="00DD6C78" w:rsidRPr="00046649" w:rsidRDefault="001C6AE3">
            <w:pPr>
              <w:rPr>
                <w:rFonts w:ascii="Arial" w:hAnsi="Arial" w:cs="Arial"/>
                <w:sz w:val="22"/>
                <w:szCs w:val="22"/>
              </w:rPr>
            </w:pPr>
            <w:r w:rsidRPr="00046649">
              <w:rPr>
                <w:rFonts w:ascii="Arial" w:hAnsi="Arial" w:cs="Arial"/>
                <w:sz w:val="22"/>
                <w:szCs w:val="22"/>
              </w:rPr>
              <w:t>How the job share partners communicate with their team and others</w:t>
            </w:r>
          </w:p>
        </w:tc>
        <w:tc>
          <w:tcPr>
            <w:tcW w:w="9457" w:type="dxa"/>
          </w:tcPr>
          <w:p w14:paraId="06D270C6" w14:textId="77777777" w:rsidR="001C6AE3" w:rsidRPr="00046649" w:rsidRDefault="001C6AE3">
            <w:pPr>
              <w:rPr>
                <w:rFonts w:ascii="Arial" w:hAnsi="Arial" w:cs="Arial"/>
                <w:sz w:val="22"/>
                <w:szCs w:val="22"/>
              </w:rPr>
            </w:pPr>
            <w:r w:rsidRPr="00046649">
              <w:rPr>
                <w:rFonts w:ascii="Arial" w:hAnsi="Arial" w:cs="Arial"/>
                <w:sz w:val="22"/>
                <w:szCs w:val="22"/>
              </w:rPr>
              <w:t xml:space="preserve">e.g. The partners should ensure that all emails go to and are sent from both partners. Ideally the job share partners should have a single shared email account </w:t>
            </w:r>
            <w:r w:rsidR="00562D0C" w:rsidRPr="00046649">
              <w:rPr>
                <w:rFonts w:ascii="Arial" w:hAnsi="Arial" w:cs="Arial"/>
                <w:sz w:val="22"/>
                <w:szCs w:val="22"/>
              </w:rPr>
              <w:t xml:space="preserve">or be </w:t>
            </w:r>
            <w:proofErr w:type="spellStart"/>
            <w:r w:rsidR="00562D0C" w:rsidRPr="00046649">
              <w:rPr>
                <w:rFonts w:ascii="Arial" w:hAnsi="Arial" w:cs="Arial"/>
                <w:sz w:val="22"/>
                <w:szCs w:val="22"/>
              </w:rPr>
              <w:t>CC’d</w:t>
            </w:r>
            <w:proofErr w:type="spellEnd"/>
            <w:r w:rsidR="00562D0C" w:rsidRPr="00046649">
              <w:rPr>
                <w:rFonts w:ascii="Arial" w:hAnsi="Arial" w:cs="Arial"/>
                <w:sz w:val="22"/>
                <w:szCs w:val="22"/>
              </w:rPr>
              <w:t xml:space="preserve"> into all emails</w:t>
            </w:r>
            <w:r w:rsidRPr="0004664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23D1B9E" w14:textId="77777777" w:rsidR="00DD6C78" w:rsidRPr="00046649" w:rsidRDefault="001C6AE3">
            <w:pPr>
              <w:rPr>
                <w:rFonts w:ascii="Arial" w:hAnsi="Arial" w:cs="Arial"/>
                <w:sz w:val="22"/>
                <w:szCs w:val="22"/>
              </w:rPr>
            </w:pPr>
            <w:r w:rsidRPr="00046649">
              <w:rPr>
                <w:rFonts w:ascii="Arial" w:hAnsi="Arial" w:cs="Arial"/>
                <w:sz w:val="22"/>
                <w:szCs w:val="22"/>
              </w:rPr>
              <w:t>Email signatures should say that the role is a job share with both names and contact details of the partners shown. The signature should also show the working days of each partner.</w:t>
            </w:r>
          </w:p>
        </w:tc>
      </w:tr>
      <w:tr w:rsidR="001C6AE3" w:rsidRPr="00046649" w14:paraId="0F8C62A8" w14:textId="77777777">
        <w:tc>
          <w:tcPr>
            <w:tcW w:w="2978" w:type="dxa"/>
          </w:tcPr>
          <w:p w14:paraId="3992D9B5" w14:textId="77777777" w:rsidR="00530C69" w:rsidRPr="00046649" w:rsidRDefault="00530C69" w:rsidP="00530C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Regular handovers</w:t>
            </w:r>
          </w:p>
          <w:p w14:paraId="51B6D9AE" w14:textId="77777777" w:rsidR="00530C69" w:rsidRPr="00046649" w:rsidRDefault="00530C69" w:rsidP="00530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4" w:type="dxa"/>
          </w:tcPr>
          <w:p w14:paraId="6EC9DBBF" w14:textId="77777777" w:rsidR="00530C69" w:rsidRPr="00046649" w:rsidRDefault="00530C69" w:rsidP="001C6AE3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046649">
              <w:rPr>
                <w:rFonts w:ascii="Arial" w:hAnsi="Arial" w:cs="Arial"/>
                <w:color w:val="222222"/>
                <w:sz w:val="22"/>
                <w:szCs w:val="22"/>
              </w:rPr>
              <w:t xml:space="preserve">Method and approach for conducting handovers of information between job share partners. (i.e. </w:t>
            </w:r>
            <w:r w:rsidR="00562D0C" w:rsidRPr="00046649">
              <w:rPr>
                <w:rFonts w:ascii="Arial" w:hAnsi="Arial" w:cs="Arial"/>
                <w:color w:val="222222"/>
                <w:sz w:val="22"/>
                <w:szCs w:val="22"/>
              </w:rPr>
              <w:t xml:space="preserve">handovers on Wednesday and Friday nights or a </w:t>
            </w:r>
            <w:r w:rsidRPr="00046649">
              <w:rPr>
                <w:rFonts w:ascii="Arial" w:hAnsi="Arial" w:cs="Arial"/>
                <w:color w:val="222222"/>
                <w:sz w:val="22"/>
                <w:szCs w:val="22"/>
              </w:rPr>
              <w:t>cross over day when face to face meeting is conducted, method of recording information for handover)</w:t>
            </w:r>
          </w:p>
        </w:tc>
        <w:tc>
          <w:tcPr>
            <w:tcW w:w="9457" w:type="dxa"/>
          </w:tcPr>
          <w:p w14:paraId="51003209" w14:textId="77777777" w:rsidR="009B382C" w:rsidRPr="00046649" w:rsidRDefault="00530C69" w:rsidP="00046649">
            <w:pPr>
              <w:rPr>
                <w:rFonts w:ascii="Arial" w:hAnsi="Arial" w:cs="Arial"/>
                <w:sz w:val="22"/>
                <w:szCs w:val="22"/>
              </w:rPr>
            </w:pPr>
            <w:r w:rsidRPr="00046649">
              <w:rPr>
                <w:rFonts w:ascii="Arial" w:hAnsi="Arial" w:cs="Arial"/>
                <w:sz w:val="22"/>
                <w:szCs w:val="22"/>
              </w:rPr>
              <w:t>e.g. Wednesday as</w:t>
            </w:r>
            <w:r w:rsidR="00562D0C" w:rsidRPr="00046649">
              <w:rPr>
                <w:rFonts w:ascii="Arial" w:hAnsi="Arial" w:cs="Arial"/>
                <w:sz w:val="22"/>
                <w:szCs w:val="22"/>
              </w:rPr>
              <w:t xml:space="preserve"> handover day </w:t>
            </w:r>
            <w:r w:rsidR="00046649">
              <w:rPr>
                <w:rFonts w:ascii="Arial" w:hAnsi="Arial" w:cs="Arial"/>
                <w:sz w:val="22"/>
                <w:szCs w:val="22"/>
              </w:rPr>
              <w:t xml:space="preserve">when both partners are paid to work that day.  Or handover to be on the phone on Wednesday / Friday night. </w:t>
            </w:r>
            <w:r w:rsidR="009B382C" w:rsidRPr="00046649">
              <w:rPr>
                <w:rFonts w:ascii="Arial" w:hAnsi="Arial" w:cs="Arial"/>
                <w:sz w:val="22"/>
                <w:szCs w:val="22"/>
              </w:rPr>
              <w:t>Handover notes should be made</w:t>
            </w:r>
            <w:r w:rsidR="00046649">
              <w:rPr>
                <w:rFonts w:ascii="Arial" w:hAnsi="Arial" w:cs="Arial"/>
                <w:sz w:val="22"/>
                <w:szCs w:val="22"/>
              </w:rPr>
              <w:t xml:space="preserve"> using a google docs type document with extra explanation via voice notes. T</w:t>
            </w:r>
            <w:r w:rsidR="009B382C" w:rsidRPr="00046649">
              <w:rPr>
                <w:rFonts w:ascii="Arial" w:hAnsi="Arial" w:cs="Arial"/>
                <w:sz w:val="22"/>
                <w:szCs w:val="22"/>
              </w:rPr>
              <w:t>he information discussed and agreed in the handover should be noted to ensure clear understanding has been reached to avoid any future confusion.</w:t>
            </w:r>
          </w:p>
        </w:tc>
      </w:tr>
      <w:tr w:rsidR="001C6AE3" w:rsidRPr="00046649" w14:paraId="2DB77104" w14:textId="77777777">
        <w:tc>
          <w:tcPr>
            <w:tcW w:w="2978" w:type="dxa"/>
          </w:tcPr>
          <w:p w14:paraId="17B18347" w14:textId="77777777" w:rsidR="00530C69" w:rsidRPr="00046649" w:rsidRDefault="00530C69" w:rsidP="00530C69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Direct reports</w:t>
            </w:r>
          </w:p>
          <w:p w14:paraId="1005EFC5" w14:textId="77777777" w:rsidR="00530C69" w:rsidRPr="00046649" w:rsidRDefault="00530C69" w:rsidP="00530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4" w:type="dxa"/>
          </w:tcPr>
          <w:p w14:paraId="4ECC1C27" w14:textId="77777777" w:rsidR="00530C69" w:rsidRPr="00046649" w:rsidRDefault="00530C69" w:rsidP="00530C69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How line management of direct reports will be conducted</w:t>
            </w:r>
          </w:p>
          <w:p w14:paraId="0760D7DE" w14:textId="77777777" w:rsidR="00530C69" w:rsidRPr="00046649" w:rsidRDefault="00530C69" w:rsidP="00530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7" w:type="dxa"/>
          </w:tcPr>
          <w:p w14:paraId="29460F01" w14:textId="0E2F8EBC" w:rsidR="00530C69" w:rsidRPr="00046649" w:rsidRDefault="00562D0C" w:rsidP="00530C69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e.g.</w:t>
            </w:r>
            <w:r w:rsidR="00530C69"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structure where both managers are require</w:t>
            </w:r>
            <w:r w:rsidR="00814724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d</w:t>
            </w:r>
            <w:r w:rsidR="00530C69"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to input into the reports of their direct report, however one act</w:t>
            </w:r>
            <w:r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="00530C69"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as lead on the HR information </w:t>
            </w:r>
            <w:proofErr w:type="gramStart"/>
            <w:r w:rsidR="00530C69"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system</w:t>
            </w:r>
            <w:proofErr w:type="gramEnd"/>
          </w:p>
          <w:p w14:paraId="7FBA6B68" w14:textId="77777777" w:rsidR="00530C69" w:rsidRPr="00046649" w:rsidRDefault="00530C69" w:rsidP="00530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AE3" w:rsidRPr="00046649" w14:paraId="4D6A6CAB" w14:textId="77777777">
        <w:tc>
          <w:tcPr>
            <w:tcW w:w="2978" w:type="dxa"/>
          </w:tcPr>
          <w:p w14:paraId="71776012" w14:textId="77777777" w:rsidR="00530C69" w:rsidRPr="00046649" w:rsidRDefault="00530C69" w:rsidP="00530C69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Annual leave or sick</w:t>
            </w:r>
            <w:r w:rsidR="00015A46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day cover</w:t>
            </w:r>
          </w:p>
          <w:p w14:paraId="0BAD8688" w14:textId="77777777" w:rsidR="00530C69" w:rsidRPr="00046649" w:rsidRDefault="00530C69" w:rsidP="00530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4" w:type="dxa"/>
          </w:tcPr>
          <w:p w14:paraId="1B0EC9C7" w14:textId="77777777" w:rsidR="00530C69" w:rsidRPr="00046649" w:rsidRDefault="00530C69" w:rsidP="00530C69">
            <w:pPr>
              <w:rPr>
                <w:rFonts w:ascii="Arial" w:hAnsi="Arial" w:cs="Arial"/>
                <w:sz w:val="22"/>
                <w:szCs w:val="22"/>
              </w:rPr>
            </w:pPr>
            <w:r w:rsidRPr="00046649">
              <w:rPr>
                <w:rFonts w:ascii="Arial" w:hAnsi="Arial" w:cs="Arial"/>
                <w:sz w:val="22"/>
                <w:szCs w:val="22"/>
              </w:rPr>
              <w:t>What happens when a Job Share Partner is not available to work agreed hours</w:t>
            </w:r>
          </w:p>
        </w:tc>
        <w:tc>
          <w:tcPr>
            <w:tcW w:w="9457" w:type="dxa"/>
          </w:tcPr>
          <w:p w14:paraId="215F9DE1" w14:textId="77777777" w:rsidR="00530C69" w:rsidRPr="00046649" w:rsidRDefault="00562D0C" w:rsidP="00530C69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046649">
              <w:rPr>
                <w:rFonts w:ascii="Arial" w:hAnsi="Arial" w:cs="Arial"/>
                <w:sz w:val="22"/>
                <w:szCs w:val="22"/>
              </w:rPr>
              <w:t>Wil</w:t>
            </w:r>
            <w:r w:rsidR="00015A46">
              <w:rPr>
                <w:rFonts w:ascii="Arial" w:hAnsi="Arial" w:cs="Arial"/>
                <w:sz w:val="22"/>
                <w:szCs w:val="22"/>
              </w:rPr>
              <w:t>l</w:t>
            </w:r>
            <w:r w:rsidRPr="00046649">
              <w:rPr>
                <w:rFonts w:ascii="Arial" w:hAnsi="Arial" w:cs="Arial"/>
                <w:sz w:val="22"/>
                <w:szCs w:val="22"/>
              </w:rPr>
              <w:t xml:space="preserve"> the job share partner be contracted to cover sick days or holidays?  Or will </w:t>
            </w:r>
            <w:r w:rsidR="00530C69"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the job share pa</w:t>
            </w:r>
            <w:r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rtner who is still in work </w:t>
            </w:r>
            <w:r w:rsidR="00530C69"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not be expected to increase days to cover absences, but provide sufficient cover within their allocated working hours</w:t>
            </w:r>
          </w:p>
          <w:p w14:paraId="6C387842" w14:textId="77777777" w:rsidR="00530C69" w:rsidRPr="00046649" w:rsidRDefault="00530C69" w:rsidP="00530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AE3" w:rsidRPr="00046649" w14:paraId="5351BC19" w14:textId="77777777">
        <w:tc>
          <w:tcPr>
            <w:tcW w:w="2978" w:type="dxa"/>
          </w:tcPr>
          <w:p w14:paraId="06D7BD28" w14:textId="77777777" w:rsidR="00530C69" w:rsidRPr="00046649" w:rsidRDefault="00530C69" w:rsidP="00530C69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Performance management</w:t>
            </w:r>
          </w:p>
          <w:p w14:paraId="1D8063A0" w14:textId="77777777" w:rsidR="00530C69" w:rsidRPr="00046649" w:rsidRDefault="00530C69" w:rsidP="00530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4" w:type="dxa"/>
          </w:tcPr>
          <w:p w14:paraId="617ABE86" w14:textId="77777777" w:rsidR="00530C69" w:rsidRPr="00046649" w:rsidRDefault="00530C69" w:rsidP="00530C69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how performance will be monitored and assessed. How underperformance will be addressed. </w:t>
            </w:r>
          </w:p>
          <w:p w14:paraId="3CEC0CDF" w14:textId="77777777" w:rsidR="00530C69" w:rsidRPr="00046649" w:rsidRDefault="00530C69" w:rsidP="00530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7" w:type="dxa"/>
          </w:tcPr>
          <w:p w14:paraId="46B699F5" w14:textId="77777777" w:rsidR="00530C69" w:rsidRPr="00046649" w:rsidRDefault="00562D0C" w:rsidP="00530C69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Schedule regular feedback sessions </w:t>
            </w:r>
            <w:r w:rsidR="00530C69"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e.g. In line with existing performance management policy, the agreement should refer to </w:t>
            </w:r>
            <w:r w:rsidR="00571033" w:rsidRPr="00046649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the policy</w:t>
            </w:r>
          </w:p>
          <w:p w14:paraId="663D28C3" w14:textId="77777777" w:rsidR="00530C69" w:rsidRPr="00046649" w:rsidRDefault="00530C69" w:rsidP="00530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A9DD35" w14:textId="77777777" w:rsidR="00DD6C78" w:rsidRPr="00046649" w:rsidRDefault="00046649" w:rsidP="00046649">
      <w:pPr>
        <w:jc w:val="right"/>
        <w:rPr>
          <w:rFonts w:ascii="Arial" w:hAnsi="Arial"/>
          <w:sz w:val="22"/>
        </w:rPr>
      </w:pPr>
      <w:r w:rsidRPr="00046649">
        <w:rPr>
          <w:rFonts w:ascii="Arial" w:hAnsi="Arial"/>
          <w:sz w:val="22"/>
        </w:rPr>
        <w:t>www.sharemytellyjob.com</w:t>
      </w:r>
    </w:p>
    <w:sectPr w:rsidR="00DD6C78" w:rsidRPr="00046649" w:rsidSect="00BD396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C78"/>
    <w:rsid w:val="00015A46"/>
    <w:rsid w:val="00046649"/>
    <w:rsid w:val="001B5528"/>
    <w:rsid w:val="001C6AE3"/>
    <w:rsid w:val="001E1534"/>
    <w:rsid w:val="00263197"/>
    <w:rsid w:val="00530C69"/>
    <w:rsid w:val="00562D0C"/>
    <w:rsid w:val="00571033"/>
    <w:rsid w:val="007E525F"/>
    <w:rsid w:val="007F7841"/>
    <w:rsid w:val="00814724"/>
    <w:rsid w:val="008A6B58"/>
    <w:rsid w:val="00935D96"/>
    <w:rsid w:val="009B382C"/>
    <w:rsid w:val="00BD3967"/>
    <w:rsid w:val="00CF3094"/>
    <w:rsid w:val="00DD6C78"/>
    <w:rsid w:val="00E8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DADE"/>
  <w15:docId w15:val="{99A6D826-CAF2-CE44-9F8A-3C21CDFF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62D0C"/>
  </w:style>
  <w:style w:type="character" w:styleId="Strong">
    <w:name w:val="Strong"/>
    <w:basedOn w:val="DefaultParagraphFont"/>
    <w:uiPriority w:val="22"/>
    <w:rsid w:val="00562D0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Gorm Ashurst</cp:lastModifiedBy>
  <cp:revision>5</cp:revision>
  <dcterms:created xsi:type="dcterms:W3CDTF">2020-01-14T14:22:00Z</dcterms:created>
  <dcterms:modified xsi:type="dcterms:W3CDTF">2024-01-12T17:57:00Z</dcterms:modified>
</cp:coreProperties>
</file>